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25138C">
        <w:rPr>
          <w:bCs/>
          <w:sz w:val="28"/>
          <w:szCs w:val="28"/>
        </w:rPr>
        <w:t>27.12</w:t>
      </w:r>
      <w:r w:rsidR="004A0F1A">
        <w:rPr>
          <w:bCs/>
          <w:sz w:val="28"/>
          <w:szCs w:val="28"/>
        </w:rPr>
        <w:t>.</w:t>
      </w:r>
      <w:r w:rsidR="00932A56">
        <w:rPr>
          <w:bCs/>
          <w:sz w:val="28"/>
          <w:szCs w:val="28"/>
        </w:rPr>
        <w:t xml:space="preserve"> 201</w:t>
      </w:r>
      <w:r w:rsidR="009A7F7D">
        <w:rPr>
          <w:bCs/>
          <w:sz w:val="28"/>
          <w:szCs w:val="28"/>
        </w:rPr>
        <w:t>9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   </w:t>
      </w:r>
      <w:r w:rsidR="0025138C">
        <w:rPr>
          <w:bCs/>
          <w:sz w:val="28"/>
          <w:szCs w:val="28"/>
        </w:rPr>
        <w:t>117</w:t>
      </w:r>
      <w:r w:rsidR="00000896" w:rsidRPr="00663BC4">
        <w:rPr>
          <w:bCs/>
          <w:sz w:val="28"/>
          <w:szCs w:val="28"/>
        </w:rPr>
        <w:t xml:space="preserve">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00896" w:rsidRPr="00663BC4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78 от 30.10.2018г </w:t>
      </w:r>
      <w:r w:rsidR="00000896"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000896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  <w:r w:rsidR="009A7F7D">
        <w:rPr>
          <w:sz w:val="28"/>
          <w:szCs w:val="28"/>
        </w:rPr>
        <w:t xml:space="preserve"> </w:t>
      </w:r>
      <w:r w:rsidR="0093247F"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В соответствии с постановлением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 поселения Песчанокопского района от  </w:t>
      </w:r>
      <w:r w:rsidR="000053DE" w:rsidRPr="000053DE">
        <w:rPr>
          <w:sz w:val="28"/>
          <w:lang w:eastAsia="ar-SA"/>
        </w:rPr>
        <w:t>30</w:t>
      </w:r>
      <w:r w:rsidRPr="000053DE">
        <w:rPr>
          <w:sz w:val="28"/>
          <w:lang w:eastAsia="ar-SA"/>
        </w:rPr>
        <w:t xml:space="preserve">.10.2018 № </w:t>
      </w:r>
      <w:r w:rsidR="000053DE" w:rsidRPr="000053DE">
        <w:rPr>
          <w:sz w:val="28"/>
          <w:lang w:eastAsia="ar-SA"/>
        </w:rPr>
        <w:t>71</w:t>
      </w:r>
      <w:r w:rsidRPr="00932A56">
        <w:rPr>
          <w:sz w:val="28"/>
          <w:lang w:eastAsia="ar-SA"/>
        </w:rPr>
        <w:t xml:space="preserve">   «</w:t>
      </w:r>
      <w:r w:rsidRPr="00932A56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D522BF">
        <w:rPr>
          <w:sz w:val="28"/>
          <w:szCs w:val="28"/>
        </w:rPr>
        <w:t>Поливянского</w:t>
      </w:r>
      <w:r w:rsidRPr="00932A56">
        <w:rPr>
          <w:sz w:val="28"/>
          <w:szCs w:val="28"/>
        </w:rPr>
        <w:t xml:space="preserve"> сельского поселения Песчанокопского района</w:t>
      </w:r>
      <w:r w:rsidRPr="00932A56">
        <w:rPr>
          <w:sz w:val="28"/>
          <w:lang w:eastAsia="ar-SA"/>
        </w:rPr>
        <w:t xml:space="preserve">» и </w:t>
      </w:r>
      <w:r w:rsidR="008E51FC">
        <w:rPr>
          <w:sz w:val="28"/>
          <w:lang w:eastAsia="ar-SA"/>
        </w:rPr>
        <w:t xml:space="preserve"> распоряжением</w:t>
      </w:r>
      <w:r w:rsidRPr="00932A56">
        <w:rPr>
          <w:sz w:val="28"/>
          <w:lang w:eastAsia="ar-SA"/>
        </w:rPr>
        <w:t xml:space="preserve">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 поселения Песчанокопского района от </w:t>
      </w:r>
      <w:r w:rsidR="000053DE" w:rsidRPr="000053DE">
        <w:rPr>
          <w:sz w:val="28"/>
          <w:lang w:eastAsia="ar-SA"/>
        </w:rPr>
        <w:t>30</w:t>
      </w:r>
      <w:r w:rsidRPr="000053DE">
        <w:rPr>
          <w:sz w:val="28"/>
          <w:lang w:eastAsia="ar-SA"/>
        </w:rPr>
        <w:t xml:space="preserve">.10.2018 № </w:t>
      </w:r>
      <w:r w:rsidR="00355ED5" w:rsidRPr="000053DE">
        <w:rPr>
          <w:sz w:val="28"/>
          <w:lang w:eastAsia="ar-SA"/>
        </w:rPr>
        <w:t>70</w:t>
      </w:r>
      <w:r w:rsidRPr="000053DE">
        <w:rPr>
          <w:sz w:val="28"/>
          <w:lang w:eastAsia="ar-SA"/>
        </w:rPr>
        <w:t xml:space="preserve"> </w:t>
      </w:r>
      <w:r w:rsidRPr="00932A56">
        <w:rPr>
          <w:sz w:val="28"/>
          <w:lang w:eastAsia="ar-SA"/>
        </w:rPr>
        <w:t xml:space="preserve">«Об утверждении Методических рекомендаций по разработке и реализации муниципальных программ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района», распоряжением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 поселения Песчанокопского района от </w:t>
      </w:r>
      <w:r w:rsidR="000053DE" w:rsidRPr="000053DE">
        <w:rPr>
          <w:sz w:val="28"/>
          <w:lang w:eastAsia="ar-SA"/>
        </w:rPr>
        <w:t>30</w:t>
      </w:r>
      <w:r w:rsidRPr="000053DE">
        <w:rPr>
          <w:sz w:val="28"/>
          <w:lang w:eastAsia="ar-SA"/>
        </w:rPr>
        <w:t xml:space="preserve">.10.2018 № </w:t>
      </w:r>
      <w:r w:rsidR="000053DE" w:rsidRPr="000053DE">
        <w:rPr>
          <w:sz w:val="28"/>
          <w:lang w:eastAsia="ar-SA"/>
        </w:rPr>
        <w:t>17</w:t>
      </w:r>
      <w:r w:rsidRPr="00932A56">
        <w:rPr>
          <w:sz w:val="28"/>
          <w:lang w:eastAsia="ar-SA"/>
        </w:rPr>
        <w:t xml:space="preserve">  «Об утверждении Перечня  муниципальных программ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района»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</w:t>
      </w:r>
      <w:r w:rsidR="009A7F7D">
        <w:rPr>
          <w:sz w:val="28"/>
          <w:szCs w:val="28"/>
        </w:rPr>
        <w:t>Внести изменения и дополнения в постановление № 78 от 30.10.2018г</w:t>
      </w:r>
      <w:r w:rsidRPr="00932A56">
        <w:rPr>
          <w:sz w:val="28"/>
          <w:lang w:eastAsia="ar-SA"/>
        </w:rPr>
        <w:t xml:space="preserve">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3F3">
        <w:rPr>
          <w:sz w:val="28"/>
          <w:szCs w:val="28"/>
        </w:rPr>
        <w:t>. Настоящее постановление подлежит опубликованию в информационном бюллетене Поливянского сельского поселе</w:t>
      </w:r>
      <w:r>
        <w:rPr>
          <w:sz w:val="28"/>
          <w:szCs w:val="28"/>
        </w:rPr>
        <w:t>ния и размещению на сайте Администрации Поливянского сельского поселения</w:t>
      </w:r>
      <w:r w:rsidRPr="001663F3">
        <w:rPr>
          <w:sz w:val="28"/>
          <w:szCs w:val="28"/>
        </w:rPr>
        <w:t>.</w:t>
      </w:r>
    </w:p>
    <w:p w:rsidR="009A7F7D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3F3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D522BF">
        <w:rPr>
          <w:sz w:val="28"/>
          <w:szCs w:val="28"/>
        </w:rPr>
        <w:t>Ю.И. Алейников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Default="00E03D53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138C">
        <w:rPr>
          <w:sz w:val="28"/>
          <w:szCs w:val="28"/>
        </w:rPr>
        <w:t>27.12</w:t>
      </w:r>
      <w:r w:rsidR="00645EF2">
        <w:rPr>
          <w:sz w:val="28"/>
          <w:szCs w:val="28"/>
        </w:rPr>
        <w:t>.201</w:t>
      </w:r>
      <w:r w:rsidR="009A7F7D">
        <w:rPr>
          <w:sz w:val="28"/>
          <w:szCs w:val="28"/>
        </w:rPr>
        <w:t>9</w:t>
      </w:r>
      <w:r>
        <w:rPr>
          <w:sz w:val="28"/>
          <w:szCs w:val="28"/>
        </w:rPr>
        <w:t xml:space="preserve">г </w:t>
      </w:r>
      <w:r w:rsidR="00645EF2">
        <w:rPr>
          <w:sz w:val="28"/>
          <w:szCs w:val="28"/>
        </w:rPr>
        <w:t>№</w:t>
      </w:r>
      <w:r w:rsidR="0025138C">
        <w:rPr>
          <w:sz w:val="28"/>
          <w:szCs w:val="28"/>
        </w:rPr>
        <w:t xml:space="preserve"> 117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lastRenderedPageBreak/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Общий объём финансирования на весь период реализации Программы </w:t>
            </w:r>
            <w:r w:rsidR="000053DE"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19183,7</w:t>
            </w:r>
            <w:r w:rsidR="0053316F" w:rsidRPr="000053DE">
              <w:rPr>
                <w:sz w:val="28"/>
                <w:szCs w:val="28"/>
              </w:rPr>
              <w:t xml:space="preserve"> </w:t>
            </w:r>
            <w:r w:rsidRPr="005F3342">
              <w:rPr>
                <w:sz w:val="28"/>
                <w:szCs w:val="28"/>
              </w:rPr>
              <w:t xml:space="preserve"> тыс. руб. в том числе по годам реализации:</w:t>
            </w:r>
          </w:p>
          <w:p w:rsidR="00645EF2" w:rsidRPr="000053DE" w:rsidRDefault="004A13F9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3316F">
              <w:rPr>
                <w:kern w:val="2"/>
                <w:sz w:val="28"/>
                <w:szCs w:val="28"/>
              </w:rPr>
              <w:t>3011,</w:t>
            </w:r>
            <w:r w:rsidR="00E06A42">
              <w:rPr>
                <w:kern w:val="2"/>
                <w:sz w:val="28"/>
                <w:szCs w:val="28"/>
              </w:rPr>
              <w:t>6</w:t>
            </w:r>
            <w:r w:rsidR="00645EF2"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1271,1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513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="0025138C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lastRenderedPageBreak/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0,0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25138C" w:rsidRPr="005F3342" w:rsidRDefault="00645EF2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 из местного бюджета- </w:t>
            </w:r>
            <w:r w:rsidR="0025138C">
              <w:rPr>
                <w:sz w:val="28"/>
                <w:szCs w:val="28"/>
              </w:rPr>
              <w:t>19183,7</w:t>
            </w:r>
            <w:r w:rsidR="0025138C" w:rsidRPr="000053DE">
              <w:rPr>
                <w:sz w:val="28"/>
                <w:szCs w:val="28"/>
              </w:rPr>
              <w:t xml:space="preserve"> </w:t>
            </w:r>
            <w:r w:rsidR="0025138C" w:rsidRPr="005F3342">
              <w:rPr>
                <w:sz w:val="28"/>
                <w:szCs w:val="28"/>
              </w:rPr>
              <w:t xml:space="preserve"> тыс. руб. в том числе по годам реализации:</w:t>
            </w:r>
          </w:p>
          <w:p w:rsidR="0025138C" w:rsidRPr="000053DE" w:rsidRDefault="0025138C" w:rsidP="002513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1271,1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45EF2" w:rsidRPr="000053DE" w:rsidRDefault="0025138C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2030 год -  </w:t>
            </w:r>
            <w:r>
              <w:rPr>
                <w:kern w:val="2"/>
                <w:sz w:val="28"/>
                <w:szCs w:val="28"/>
              </w:rPr>
              <w:t>1451,9</w:t>
            </w:r>
            <w:r w:rsidRPr="000053DE">
              <w:rPr>
                <w:kern w:val="2"/>
                <w:sz w:val="28"/>
                <w:szCs w:val="28"/>
              </w:rPr>
              <w:t xml:space="preserve">  тыс. рублей.</w:t>
            </w:r>
            <w:r w:rsidR="00645EF2"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="00645EF2"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lastRenderedPageBreak/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9A7F7D" w:rsidRDefault="009A7F7D" w:rsidP="00BD75F6"/>
          <w:p w:rsidR="009A7F7D" w:rsidRPr="009A7F7D" w:rsidRDefault="009A7F7D" w:rsidP="009A7F7D"/>
          <w:p w:rsidR="009A7F7D" w:rsidRPr="009A7F7D" w:rsidRDefault="009A7F7D" w:rsidP="009A7F7D"/>
          <w:p w:rsidR="009A7F7D" w:rsidRDefault="009A7F7D" w:rsidP="009A7F7D"/>
          <w:p w:rsidR="00645EF2" w:rsidRPr="009A7F7D" w:rsidRDefault="009A7F7D" w:rsidP="009A7F7D">
            <w:pPr>
              <w:tabs>
                <w:tab w:val="left" w:pos="2495"/>
              </w:tabs>
            </w:pPr>
            <w:r>
              <w:tab/>
            </w:r>
          </w:p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25138C" w:rsidRPr="005F3342" w:rsidRDefault="00645EF2" w:rsidP="0025138C">
            <w:pPr>
              <w:jc w:val="both"/>
              <w:rPr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Общий объем финансирования подпрограммы</w:t>
            </w:r>
            <w:r>
              <w:rPr>
                <w:kern w:val="2"/>
                <w:sz w:val="28"/>
                <w:szCs w:val="28"/>
              </w:rPr>
              <w:t xml:space="preserve"> на весь период</w:t>
            </w:r>
            <w:r w:rsidRPr="00BF3287">
              <w:rPr>
                <w:kern w:val="2"/>
                <w:sz w:val="28"/>
                <w:szCs w:val="28"/>
              </w:rPr>
              <w:t xml:space="preserve"> составляет </w:t>
            </w:r>
            <w:r w:rsidR="003C312A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19183,7</w:t>
            </w:r>
            <w:r w:rsidR="0025138C" w:rsidRPr="000053DE">
              <w:rPr>
                <w:sz w:val="28"/>
                <w:szCs w:val="28"/>
              </w:rPr>
              <w:t xml:space="preserve"> </w:t>
            </w:r>
            <w:r w:rsidR="0025138C" w:rsidRPr="005F3342">
              <w:rPr>
                <w:sz w:val="28"/>
                <w:szCs w:val="28"/>
              </w:rPr>
              <w:t xml:space="preserve"> тыс. руб. в том числе по годам реализации:</w:t>
            </w:r>
          </w:p>
          <w:p w:rsidR="0025138C" w:rsidRPr="000053DE" w:rsidRDefault="0025138C" w:rsidP="002513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1271,1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45EF2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  <w:r w:rsidR="00645E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25138C" w:rsidRPr="005F3342" w:rsidRDefault="00645EF2" w:rsidP="0025138C">
            <w:pPr>
              <w:jc w:val="both"/>
              <w:rPr>
                <w:sz w:val="28"/>
                <w:szCs w:val="28"/>
              </w:rPr>
            </w:pPr>
            <w:r w:rsidRPr="00FD041A">
              <w:rPr>
                <w:kern w:val="2"/>
                <w:sz w:val="28"/>
                <w:szCs w:val="28"/>
              </w:rPr>
              <w:t>Объем финансирования</w:t>
            </w:r>
            <w:r w:rsidR="008C76C6">
              <w:rPr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kern w:val="2"/>
                <w:sz w:val="28"/>
                <w:szCs w:val="28"/>
              </w:rPr>
              <w:t>из местного бюджета</w:t>
            </w:r>
            <w:r w:rsidR="000053DE">
              <w:rPr>
                <w:kern w:val="2"/>
                <w:sz w:val="28"/>
                <w:szCs w:val="28"/>
              </w:rPr>
              <w:t xml:space="preserve"> –</w:t>
            </w:r>
            <w:r w:rsidR="008C76C6">
              <w:rPr>
                <w:kern w:val="2"/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19183,7</w:t>
            </w:r>
            <w:r w:rsidR="0025138C" w:rsidRPr="000053DE">
              <w:rPr>
                <w:sz w:val="28"/>
                <w:szCs w:val="28"/>
              </w:rPr>
              <w:t xml:space="preserve"> </w:t>
            </w:r>
            <w:r w:rsidR="0025138C" w:rsidRPr="005F3342">
              <w:rPr>
                <w:sz w:val="28"/>
                <w:szCs w:val="28"/>
              </w:rPr>
              <w:t xml:space="preserve"> тыс. руб. в том числе по годам реализации:</w:t>
            </w:r>
          </w:p>
          <w:p w:rsidR="0025138C" w:rsidRPr="000053DE" w:rsidRDefault="0025138C" w:rsidP="002513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1271,1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25138C" w:rsidRPr="000053DE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45EF2" w:rsidRPr="00FD041A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1451,9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 w:rsidR="00645E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="00645EF2"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9"/>
        <w:gridCol w:w="1601"/>
        <w:gridCol w:w="708"/>
        <w:gridCol w:w="1134"/>
        <w:gridCol w:w="1560"/>
        <w:gridCol w:w="1134"/>
        <w:gridCol w:w="1275"/>
        <w:gridCol w:w="1134"/>
        <w:gridCol w:w="993"/>
        <w:gridCol w:w="1275"/>
        <w:gridCol w:w="993"/>
        <w:gridCol w:w="964"/>
        <w:gridCol w:w="964"/>
        <w:gridCol w:w="964"/>
        <w:gridCol w:w="908"/>
      </w:tblGrid>
      <w:tr w:rsidR="00645EF2" w:rsidRPr="00F13638" w:rsidTr="00DB3833">
        <w:trPr>
          <w:tblCellSpacing w:w="5" w:type="nil"/>
        </w:trPr>
        <w:tc>
          <w:tcPr>
            <w:tcW w:w="468" w:type="dxa"/>
            <w:vMerge w:val="restart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601" w:type="dxa"/>
            <w:vMerge w:val="restart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645EF2" w:rsidRPr="00F13638" w:rsidRDefault="000053DE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298" w:type="dxa"/>
            <w:gridSpan w:val="12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645EF2" w:rsidRPr="00F13638" w:rsidTr="00DB3833">
        <w:trPr>
          <w:trHeight w:val="654"/>
          <w:tblCellSpacing w:w="5" w:type="nil"/>
        </w:trPr>
        <w:tc>
          <w:tcPr>
            <w:tcW w:w="468" w:type="dxa"/>
            <w:vMerge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01" w:type="dxa"/>
            <w:vMerge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3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3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6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96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96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908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001" w:type="pct"/>
        <w:jc w:val="center"/>
        <w:tblCellSpacing w:w="5" w:type="nil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7"/>
        <w:gridCol w:w="1575"/>
        <w:gridCol w:w="704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85"/>
      </w:tblGrid>
      <w:tr w:rsidR="00645EF2" w:rsidRPr="00F13638" w:rsidTr="00DB3833">
        <w:trPr>
          <w:tblHeader/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13118" w:type="dxa"/>
            <w:gridSpan w:val="12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Программа </w:t>
            </w:r>
            <w:r w:rsidRPr="00F13638">
              <w:rPr>
                <w:rFonts w:ascii="Times New Roman" w:hAnsi="Times New Roman" w:cs="Times New Roman"/>
              </w:rPr>
              <w:t>«Развитие культуры</w:t>
            </w:r>
            <w:r w:rsidR="00A609FD">
              <w:rPr>
                <w:rFonts w:ascii="Times New Roman" w:hAnsi="Times New Roman" w:cs="Times New Roman"/>
              </w:rPr>
              <w:t xml:space="preserve"> и</w:t>
            </w:r>
            <w:r w:rsidRPr="00F13638">
              <w:rPr>
                <w:rFonts w:ascii="Times New Roman" w:hAnsi="Times New Roman" w:cs="Times New Roman"/>
              </w:rPr>
              <w:t xml:space="preserve"> туризма»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575" w:type="dxa"/>
          </w:tcPr>
          <w:p w:rsidR="00645EF2" w:rsidRPr="00F13638" w:rsidRDefault="00645EF2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 w:rsidR="000053DE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 w:rsidR="000053DE"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645EF2" w:rsidRPr="000053DE" w:rsidRDefault="000053DE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="00645EF2"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645EF2" w:rsidRPr="000053DE" w:rsidRDefault="000053DE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645EF2"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645EF2"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13118" w:type="dxa"/>
            <w:gridSpan w:val="12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Подпрограмма «Развитие культуры»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6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645EF2" w:rsidRPr="00F13638" w:rsidRDefault="000053DE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645EF2"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645EF2" w:rsidRPr="00F13638" w:rsidRDefault="000053DE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645EF2" w:rsidRPr="00F13638" w:rsidRDefault="000053DE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0053DE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0053DE" w:rsidRPr="00F13638" w:rsidRDefault="000053DE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575" w:type="dxa"/>
          </w:tcPr>
          <w:p w:rsidR="000053DE" w:rsidRPr="00F13638" w:rsidRDefault="000053DE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704" w:type="dxa"/>
          </w:tcPr>
          <w:p w:rsidR="000053DE" w:rsidRPr="00F13638" w:rsidRDefault="000053DE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0053DE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0053DE" w:rsidRPr="00F13638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575" w:type="dxa"/>
          </w:tcPr>
          <w:p w:rsidR="000053DE" w:rsidRPr="00F13638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704" w:type="dxa"/>
          </w:tcPr>
          <w:p w:rsidR="000053DE" w:rsidRPr="00F13638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1.5.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ности 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14</w:t>
            </w:r>
          </w:p>
        </w:tc>
        <w:tc>
          <w:tcPr>
            <w:tcW w:w="1547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="00645EF2"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645EF2" w:rsidRPr="00F13638" w:rsidTr="00DB3833">
        <w:trPr>
          <w:trHeight w:val="384"/>
          <w:tblCellSpacing w:w="5" w:type="nil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645EF2" w:rsidRPr="00F13638" w:rsidRDefault="00645EF2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13118" w:type="dxa"/>
            <w:gridSpan w:val="12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Подпрограмма</w:t>
            </w:r>
            <w:r w:rsidR="00A609FD">
              <w:rPr>
                <w:kern w:val="2"/>
                <w:sz w:val="20"/>
              </w:rPr>
              <w:t xml:space="preserve"> 2</w:t>
            </w:r>
            <w:r w:rsidRPr="00F13638">
              <w:rPr>
                <w:kern w:val="2"/>
                <w:sz w:val="20"/>
              </w:rPr>
              <w:t xml:space="preserve"> «Обеспечение реализации </w:t>
            </w:r>
            <w:r w:rsidRPr="00F13638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D522BF">
              <w:rPr>
                <w:sz w:val="20"/>
              </w:rPr>
              <w:t xml:space="preserve"> </w:t>
            </w:r>
            <w:r w:rsidRPr="00F13638">
              <w:rPr>
                <w:sz w:val="20"/>
              </w:rPr>
              <w:t>«Развитие культуры»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86" w:type="dxa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85" w:type="dxa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A609F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645EF2" w:rsidRPr="00F13638">
              <w:rPr>
                <w:rFonts w:ascii="Times New Roman" w:hAnsi="Times New Roman" w:cs="Times New Roman"/>
                <w:kern w:val="2"/>
              </w:rPr>
              <w:t>.1.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обеспечение деятельности о</w:t>
            </w:r>
            <w:r w:rsidRPr="00F13638">
              <w:rPr>
                <w:rFonts w:ascii="Times New Roman" w:hAnsi="Times New Roman" w:cs="Times New Roman"/>
              </w:rPr>
              <w:t xml:space="preserve">тдела культуры </w:t>
            </w:r>
            <w:r w:rsidR="00D522BF">
              <w:rPr>
                <w:rFonts w:ascii="Times New Roman" w:hAnsi="Times New Roman" w:cs="Times New Roman"/>
              </w:rPr>
              <w:t>Поливянского</w:t>
            </w:r>
            <w:r w:rsidR="00AB1F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547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A045E0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53316F">
            <w:pPr>
              <w:jc w:val="both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Больший охват учащихся  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охвата учащихся  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53316F">
        <w:trPr>
          <w:trHeight w:val="705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2</w:t>
            </w: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z w:val="20"/>
              </w:rPr>
              <w:t xml:space="preserve">Подпрограмма </w:t>
            </w:r>
            <w:r w:rsidRPr="00425953">
              <w:rPr>
                <w:kern w:val="2"/>
                <w:sz w:val="20"/>
              </w:rPr>
              <w:t xml:space="preserve"> «Обеспечение реализации </w:t>
            </w:r>
            <w:r w:rsidRPr="00425953">
              <w:rPr>
                <w:sz w:val="20"/>
              </w:rPr>
              <w:t>муниципальной</w:t>
            </w:r>
            <w:r w:rsidRPr="00425953">
              <w:rPr>
                <w:kern w:val="2"/>
                <w:sz w:val="20"/>
              </w:rPr>
              <w:t xml:space="preserve"> про</w:t>
            </w:r>
            <w:r w:rsidRPr="00425953">
              <w:rPr>
                <w:kern w:val="2"/>
                <w:sz w:val="20"/>
              </w:rPr>
              <w:softHyphen/>
              <w:t>граммы»</w:t>
            </w:r>
          </w:p>
        </w:tc>
      </w:tr>
      <w:tr w:rsidR="00645EF2" w:rsidRPr="00425953" w:rsidTr="00DB3833">
        <w:trPr>
          <w:trHeight w:val="292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color w:val="365F91"/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Цель подпрограммы3  – создание условий для реализации </w:t>
            </w:r>
            <w:r w:rsidRPr="00425953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F84E5D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«Развитие культуры и  туризма»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Задача программы 3  - обеспечение эффективной деятельности </w:t>
            </w:r>
            <w:r w:rsidR="00F84E5D">
              <w:rPr>
                <w:sz w:val="20"/>
              </w:rPr>
              <w:t xml:space="preserve"> МБУК ДК</w:t>
            </w:r>
            <w:r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425953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«Развитие культуры и туризма»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3.1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«Обеспечение реализации </w:t>
            </w:r>
            <w:r w:rsidRPr="00425953">
              <w:rPr>
                <w:sz w:val="20"/>
              </w:rPr>
              <w:t>муниципальной</w:t>
            </w:r>
            <w:r w:rsidRPr="00425953">
              <w:rPr>
                <w:kern w:val="2"/>
                <w:sz w:val="20"/>
              </w:rPr>
              <w:t xml:space="preserve"> программы </w:t>
            </w:r>
          </w:p>
        </w:tc>
        <w:tc>
          <w:tcPr>
            <w:tcW w:w="1795" w:type="dxa"/>
          </w:tcPr>
          <w:p w:rsidR="00645EF2" w:rsidRPr="00425953" w:rsidRDefault="00F84E5D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ДК</w:t>
            </w:r>
            <w:r w:rsidR="00645EF2" w:rsidRPr="00425953">
              <w:rPr>
                <w:kern w:val="2"/>
                <w:sz w:val="20"/>
              </w:rPr>
              <w:t xml:space="preserve">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обеспечение достижения целей, решение задач и выполнение показателей </w:t>
            </w:r>
            <w:r w:rsidRPr="00425953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«Развитие культуры»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выполнение мероприятий по муниципальной программы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Показатели3,1</w:t>
            </w:r>
          </w:p>
        </w:tc>
      </w:tr>
    </w:tbl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31050</w:t>
            </w:r>
          </w:p>
        </w:tc>
        <w:tc>
          <w:tcPr>
            <w:tcW w:w="992" w:type="dxa"/>
          </w:tcPr>
          <w:p w:rsidR="0025138C" w:rsidRDefault="0025138C"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>
            <w:r w:rsidRPr="00895829"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709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A05236">
              <w:rPr>
                <w:sz w:val="18"/>
                <w:szCs w:val="18"/>
              </w:rPr>
              <w:t>1451,9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215C7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30116</w:t>
            </w:r>
          </w:p>
        </w:tc>
        <w:tc>
          <w:tcPr>
            <w:tcW w:w="851" w:type="dxa"/>
          </w:tcPr>
          <w:p w:rsidR="0025138C" w:rsidRPr="001B2D0E" w:rsidRDefault="0025138C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25138C" w:rsidRDefault="0025138C"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>
            <w:r w:rsidRPr="00895829"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709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F54088">
              <w:rPr>
                <w:sz w:val="18"/>
                <w:szCs w:val="18"/>
              </w:rPr>
              <w:t>1451,9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 w:rsidP="00AB1337">
            <w:pPr>
              <w:jc w:val="center"/>
            </w:pPr>
            <w:r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709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CC1FD7">
              <w:rPr>
                <w:sz w:val="18"/>
                <w:szCs w:val="18"/>
              </w:rPr>
              <w:t>1451,9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Pr="001B2D0E" w:rsidRDefault="000053DE" w:rsidP="00251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25138C" w:rsidRPr="001B2D0E" w:rsidRDefault="0025138C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25138C" w:rsidRDefault="0025138C"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709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708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C7682B">
              <w:rPr>
                <w:sz w:val="18"/>
                <w:szCs w:val="18"/>
              </w:rPr>
              <w:t>1451,9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25138C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9A7F7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20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2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924"/>
        <w:gridCol w:w="850"/>
        <w:gridCol w:w="850"/>
      </w:tblGrid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8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25138C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25138C" w:rsidRPr="001B2D0E" w:rsidRDefault="0025138C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25138C" w:rsidRDefault="0025138C" w:rsidP="00215C73">
            <w:pPr>
              <w:jc w:val="center"/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25138C" w:rsidRDefault="0025138C" w:rsidP="00215C73">
            <w:pPr>
              <w:jc w:val="center"/>
            </w:pPr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24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712ECE">
              <w:rPr>
                <w:sz w:val="18"/>
                <w:szCs w:val="18"/>
              </w:rPr>
              <w:t>1451,9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25138C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25138C" w:rsidRDefault="0025138C" w:rsidP="00F678A7">
            <w:pPr>
              <w:jc w:val="center"/>
            </w:pPr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24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25138C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 w:rsidP="00AB1337">
            <w:pPr>
              <w:jc w:val="center"/>
            </w:pPr>
            <w:r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924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>
            <w:r w:rsidRPr="00565742">
              <w:rPr>
                <w:sz w:val="18"/>
                <w:szCs w:val="18"/>
              </w:rPr>
              <w:t>1451,9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rHeight w:val="749"/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25138C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25138C" w:rsidRDefault="0025138C" w:rsidP="00F678A7">
            <w:pPr>
              <w:jc w:val="center"/>
            </w:pPr>
            <w:r>
              <w:rPr>
                <w:sz w:val="18"/>
                <w:szCs w:val="18"/>
              </w:rPr>
              <w:t>1271,1</w:t>
            </w:r>
          </w:p>
        </w:tc>
        <w:tc>
          <w:tcPr>
            <w:tcW w:w="1134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1134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92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1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924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  <w:tc>
          <w:tcPr>
            <w:tcW w:w="850" w:type="dxa"/>
          </w:tcPr>
          <w:p w:rsidR="0025138C" w:rsidRDefault="0025138C" w:rsidP="00F678A7">
            <w:r w:rsidRPr="00712ECE">
              <w:rPr>
                <w:sz w:val="18"/>
                <w:szCs w:val="18"/>
              </w:rPr>
              <w:t>1451,9</w:t>
            </w:r>
          </w:p>
        </w:tc>
      </w:tr>
      <w:tr w:rsidR="0074649D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15" w:rsidRDefault="00504A15" w:rsidP="00961BD2">
      <w:r>
        <w:separator/>
      </w:r>
    </w:p>
  </w:endnote>
  <w:endnote w:type="continuationSeparator" w:id="1">
    <w:p w:rsidR="00504A15" w:rsidRDefault="00504A15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A045E0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A045E0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25138C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15" w:rsidRDefault="00504A15" w:rsidP="00961BD2">
      <w:r>
        <w:separator/>
      </w:r>
    </w:p>
  </w:footnote>
  <w:footnote w:type="continuationSeparator" w:id="1">
    <w:p w:rsidR="00504A15" w:rsidRDefault="00504A15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5138C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3317D"/>
    <w:rsid w:val="00336583"/>
    <w:rsid w:val="00342894"/>
    <w:rsid w:val="00343E22"/>
    <w:rsid w:val="00347E9A"/>
    <w:rsid w:val="00351D4E"/>
    <w:rsid w:val="00355ED5"/>
    <w:rsid w:val="00364343"/>
    <w:rsid w:val="003707DB"/>
    <w:rsid w:val="00376E0C"/>
    <w:rsid w:val="00384E04"/>
    <w:rsid w:val="00387708"/>
    <w:rsid w:val="00390597"/>
    <w:rsid w:val="00392738"/>
    <w:rsid w:val="003A06CA"/>
    <w:rsid w:val="003B0C82"/>
    <w:rsid w:val="003B5B7F"/>
    <w:rsid w:val="003C27A3"/>
    <w:rsid w:val="003C312A"/>
    <w:rsid w:val="003C3F6E"/>
    <w:rsid w:val="003F5C13"/>
    <w:rsid w:val="0040123E"/>
    <w:rsid w:val="00402333"/>
    <w:rsid w:val="004044B1"/>
    <w:rsid w:val="00421474"/>
    <w:rsid w:val="00426D04"/>
    <w:rsid w:val="00446A08"/>
    <w:rsid w:val="00446A67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F6DCC"/>
    <w:rsid w:val="004F75CD"/>
    <w:rsid w:val="00504A15"/>
    <w:rsid w:val="00511BDE"/>
    <w:rsid w:val="005200E9"/>
    <w:rsid w:val="00527D47"/>
    <w:rsid w:val="0053316F"/>
    <w:rsid w:val="00553EFF"/>
    <w:rsid w:val="0055572C"/>
    <w:rsid w:val="0056794A"/>
    <w:rsid w:val="005716A0"/>
    <w:rsid w:val="00573DB1"/>
    <w:rsid w:val="00584DBC"/>
    <w:rsid w:val="00590AFF"/>
    <w:rsid w:val="005A22FF"/>
    <w:rsid w:val="005C323C"/>
    <w:rsid w:val="005C7B1A"/>
    <w:rsid w:val="005D1816"/>
    <w:rsid w:val="005E41D6"/>
    <w:rsid w:val="00604374"/>
    <w:rsid w:val="006173B0"/>
    <w:rsid w:val="00632361"/>
    <w:rsid w:val="006328D7"/>
    <w:rsid w:val="006368E4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D02"/>
    <w:rsid w:val="006A1C22"/>
    <w:rsid w:val="006A38E1"/>
    <w:rsid w:val="006A6BBF"/>
    <w:rsid w:val="006B2D79"/>
    <w:rsid w:val="006B4727"/>
    <w:rsid w:val="006C120C"/>
    <w:rsid w:val="006C6121"/>
    <w:rsid w:val="006D4EB4"/>
    <w:rsid w:val="006E240F"/>
    <w:rsid w:val="006E4F71"/>
    <w:rsid w:val="006F0DBC"/>
    <w:rsid w:val="007029F4"/>
    <w:rsid w:val="00724977"/>
    <w:rsid w:val="00727BA9"/>
    <w:rsid w:val="0074279C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192"/>
    <w:rsid w:val="008142FF"/>
    <w:rsid w:val="008246AA"/>
    <w:rsid w:val="0084031C"/>
    <w:rsid w:val="00850CA0"/>
    <w:rsid w:val="008704CE"/>
    <w:rsid w:val="00881569"/>
    <w:rsid w:val="008949C5"/>
    <w:rsid w:val="008972AC"/>
    <w:rsid w:val="008A2D2E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70C8A"/>
    <w:rsid w:val="00972CE6"/>
    <w:rsid w:val="00987019"/>
    <w:rsid w:val="0098748B"/>
    <w:rsid w:val="00990CC1"/>
    <w:rsid w:val="009A20D9"/>
    <w:rsid w:val="009A7F7D"/>
    <w:rsid w:val="009B502F"/>
    <w:rsid w:val="009C51E3"/>
    <w:rsid w:val="009D0294"/>
    <w:rsid w:val="009D48B4"/>
    <w:rsid w:val="009E1E1A"/>
    <w:rsid w:val="009E23E9"/>
    <w:rsid w:val="009F3A5A"/>
    <w:rsid w:val="00A045E0"/>
    <w:rsid w:val="00A058B8"/>
    <w:rsid w:val="00A1123E"/>
    <w:rsid w:val="00A165BC"/>
    <w:rsid w:val="00A564FE"/>
    <w:rsid w:val="00A56CD6"/>
    <w:rsid w:val="00A609FD"/>
    <w:rsid w:val="00A676F6"/>
    <w:rsid w:val="00A83ECA"/>
    <w:rsid w:val="00A863BF"/>
    <w:rsid w:val="00A93693"/>
    <w:rsid w:val="00A947F6"/>
    <w:rsid w:val="00AA5D00"/>
    <w:rsid w:val="00AB1F01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20D36"/>
    <w:rsid w:val="00B2121A"/>
    <w:rsid w:val="00B40068"/>
    <w:rsid w:val="00B47CFF"/>
    <w:rsid w:val="00B64146"/>
    <w:rsid w:val="00B67F26"/>
    <w:rsid w:val="00B727AC"/>
    <w:rsid w:val="00B74486"/>
    <w:rsid w:val="00B80743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B63F8"/>
    <w:rsid w:val="00CD2FF4"/>
    <w:rsid w:val="00CD5752"/>
    <w:rsid w:val="00CE3AC0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74A"/>
    <w:rsid w:val="00E011BC"/>
    <w:rsid w:val="00E01997"/>
    <w:rsid w:val="00E02482"/>
    <w:rsid w:val="00E025C5"/>
    <w:rsid w:val="00E03D53"/>
    <w:rsid w:val="00E06A42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566C2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BE14-7B5A-4A56-9D1F-40C21C8E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10</cp:revision>
  <cp:lastPrinted>2019-09-04T06:56:00Z</cp:lastPrinted>
  <dcterms:created xsi:type="dcterms:W3CDTF">2018-11-07T14:05:00Z</dcterms:created>
  <dcterms:modified xsi:type="dcterms:W3CDTF">2020-01-17T06:37:00Z</dcterms:modified>
</cp:coreProperties>
</file>