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5" w:rsidRDefault="000D7EE5" w:rsidP="005652B1">
      <w:pPr>
        <w:jc w:val="center"/>
        <w:rPr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АДМИНИСТРАЦИЯ</w:t>
      </w:r>
    </w:p>
    <w:p w:rsidR="002E330C" w:rsidRPr="002E330C" w:rsidRDefault="00314C83" w:rsidP="002E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ПОЛИВЯНСКОГО</w:t>
      </w:r>
      <w:r w:rsidR="002E330C" w:rsidRPr="002E330C">
        <w:rPr>
          <w:b/>
          <w:sz w:val="28"/>
          <w:szCs w:val="28"/>
        </w:rPr>
        <w:t xml:space="preserve"> СЕЛЬСКОГО ПОСЕЛЕНИЯ</w:t>
      </w:r>
    </w:p>
    <w:p w:rsidR="002E330C" w:rsidRDefault="00152568" w:rsidP="002E330C">
      <w:pPr>
        <w:jc w:val="center"/>
        <w:rPr>
          <w:b/>
          <w:sz w:val="28"/>
          <w:szCs w:val="28"/>
        </w:rPr>
      </w:pPr>
      <w:r w:rsidRPr="00152568">
        <w:rPr>
          <w:b/>
          <w:sz w:val="28"/>
          <w:szCs w:val="28"/>
        </w:rPr>
        <w:t>ПЕСЧАНОКОПСКОГО РАЙОНА</w:t>
      </w:r>
    </w:p>
    <w:p w:rsidR="00152568" w:rsidRDefault="00152568" w:rsidP="002E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152568" w:rsidRPr="00152568" w:rsidRDefault="00152568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ПОСТАНОВЛЕНИЕ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0D7EE5" w:rsidRPr="002E330C" w:rsidRDefault="00BA6EEB" w:rsidP="002B4ABA">
      <w:pPr>
        <w:rPr>
          <w:sz w:val="28"/>
          <w:szCs w:val="28"/>
        </w:rPr>
      </w:pPr>
      <w:r>
        <w:rPr>
          <w:sz w:val="28"/>
          <w:szCs w:val="28"/>
        </w:rPr>
        <w:t>22.01.2024</w:t>
      </w:r>
      <w:r w:rsidR="002E330C" w:rsidRPr="002E330C">
        <w:rPr>
          <w:sz w:val="28"/>
          <w:szCs w:val="28"/>
        </w:rPr>
        <w:t xml:space="preserve">                               </w:t>
      </w:r>
      <w:r w:rsidR="002B4ABA">
        <w:rPr>
          <w:sz w:val="28"/>
          <w:szCs w:val="28"/>
        </w:rPr>
        <w:t xml:space="preserve">                    </w:t>
      </w:r>
      <w:r w:rsidR="002E330C" w:rsidRPr="002E330C">
        <w:rPr>
          <w:sz w:val="28"/>
          <w:szCs w:val="28"/>
        </w:rPr>
        <w:t xml:space="preserve">  №</w:t>
      </w:r>
      <w:r w:rsidR="00314C8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52568">
        <w:rPr>
          <w:sz w:val="28"/>
          <w:szCs w:val="28"/>
        </w:rPr>
        <w:t>1</w:t>
      </w:r>
      <w:r w:rsidR="002E330C" w:rsidRPr="002E330C">
        <w:rPr>
          <w:sz w:val="28"/>
          <w:szCs w:val="28"/>
        </w:rPr>
        <w:t xml:space="preserve">         </w:t>
      </w:r>
      <w:r w:rsidR="002B4ABA">
        <w:rPr>
          <w:sz w:val="28"/>
          <w:szCs w:val="28"/>
        </w:rPr>
        <w:t xml:space="preserve">                  </w:t>
      </w:r>
      <w:r w:rsidR="002E330C" w:rsidRPr="002E330C">
        <w:rPr>
          <w:sz w:val="28"/>
          <w:szCs w:val="28"/>
        </w:rPr>
        <w:t xml:space="preserve">      с. </w:t>
      </w:r>
      <w:r w:rsidR="00314C83">
        <w:rPr>
          <w:sz w:val="28"/>
          <w:szCs w:val="28"/>
        </w:rPr>
        <w:t>Поливянка</w:t>
      </w:r>
    </w:p>
    <w:p w:rsidR="002E330C" w:rsidRDefault="002E330C" w:rsidP="002E330C">
      <w:pPr>
        <w:jc w:val="center"/>
        <w:rPr>
          <w:b/>
          <w:sz w:val="28"/>
          <w:szCs w:val="28"/>
        </w:rPr>
      </w:pPr>
    </w:p>
    <w:p w:rsidR="00152568" w:rsidRPr="00152568" w:rsidRDefault="00152568" w:rsidP="00152568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Об установлении порядка проведения осмотра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здания, сооружения или объекта незавершенного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строительства при</w:t>
      </w:r>
      <w:r w:rsidRPr="00152568">
        <w:rPr>
          <w:sz w:val="28"/>
          <w:szCs w:val="28"/>
          <w:lang w:eastAsia="ar-SA"/>
        </w:rPr>
        <w:t xml:space="preserve">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проведении мероприятий по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выявлению правообладателей</w:t>
      </w:r>
      <w:r w:rsidRPr="00152568">
        <w:rPr>
          <w:sz w:val="28"/>
          <w:szCs w:val="28"/>
          <w:lang w:eastAsia="ar-SA"/>
        </w:rPr>
        <w:t xml:space="preserve">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ранее учтенных объектов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недвижимости, формы акта осмотра здания,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сооружения или объекта незавершенного строительства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при выявлении</w:t>
      </w:r>
      <w:r w:rsidRPr="00152568">
        <w:rPr>
          <w:sz w:val="28"/>
          <w:szCs w:val="28"/>
          <w:lang w:eastAsia="ar-SA"/>
        </w:rPr>
        <w:t xml:space="preserve">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правообладателей ранее учтенных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объектов недвижимости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Calibri" w:eastAsia="Calibri" w:hAnsi="Calibri" w:cs="Calibri"/>
          <w:sz w:val="22"/>
          <w:szCs w:val="22"/>
          <w:lang w:eastAsia="ar-SA"/>
        </w:rPr>
      </w:pPr>
    </w:p>
    <w:p w:rsidR="00152568" w:rsidRDefault="00152568" w:rsidP="00314C83">
      <w:pPr>
        <w:spacing w:line="360" w:lineRule="auto"/>
        <w:ind w:firstLine="709"/>
        <w:rPr>
          <w:b/>
          <w:sz w:val="28"/>
          <w:szCs w:val="28"/>
        </w:rPr>
      </w:pPr>
    </w:p>
    <w:p w:rsidR="00152568" w:rsidRPr="00152568" w:rsidRDefault="00152568" w:rsidP="006E3A83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 соответствии с  п. 1 ст. 3 Федерального закон от 30.12.2020 № 518-ФЗ «О внесении изменений в отдельные законодательные акты Российской Федерации»,  ст. 69.1 Федерального закона «О государственной регистрации недвижимости» от 13.07.2015 № 218-ФЗ, Приказом Фед</w:t>
      </w:r>
      <w:r w:rsidR="006E3A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еральной службы государственной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регистрации, кадастра и картографии (Росреестр) от 28.04.2021 № П/0179, 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Calibri" w:eastAsia="Calibri" w:hAnsi="Calibri" w:cs="Calibri"/>
          <w:sz w:val="22"/>
          <w:szCs w:val="22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ПОСТАНОВЛЯЮ: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1.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Установить 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№ 1 к настоящему постановлению.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2.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Утвердить форму акта осмотра здания, сооружения или объекта капитального строительства при выявлении правообладателей ранее учтённых объектов недвижимости, согласно приложения № 2.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 xml:space="preserve">3. Постановление подлежит размещению на официальном сайте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 с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ельского поселения в сети «Интернет»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>4. Настоящее постановление вступает в силу с момента его официального опубликования.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>5. Контроль за выполнением  настоящего постановления  оставляю за собой.</w:t>
      </w:r>
    </w:p>
    <w:p w:rsidR="00152568" w:rsidRPr="00152568" w:rsidRDefault="00152568" w:rsidP="00152568">
      <w:pPr>
        <w:widowControl/>
        <w:tabs>
          <w:tab w:val="left" w:pos="3047"/>
        </w:tabs>
        <w:suppressAutoHyphens/>
        <w:autoSpaceDE w:val="0"/>
        <w:snapToGrid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6E3A83" w:rsidRDefault="006E3A83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14774C" w:rsidRDefault="0014774C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152568" w:rsidRDefault="00314C83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Поливянского</w:t>
      </w:r>
      <w:r w:rsidR="0014774C">
        <w:rPr>
          <w:sz w:val="28"/>
          <w:szCs w:val="28"/>
          <w:lang w:val="ru-RU"/>
        </w:rPr>
        <w:t xml:space="preserve"> сельского поселения              </w:t>
      </w:r>
      <w:r w:rsidR="002E330C">
        <w:rPr>
          <w:sz w:val="28"/>
          <w:szCs w:val="28"/>
          <w:lang w:val="ru-RU"/>
        </w:rPr>
        <w:t xml:space="preserve">               </w:t>
      </w:r>
      <w:r w:rsidR="0014774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</w:t>
      </w:r>
      <w:r w:rsidR="001477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А.В. Балык</w:t>
      </w:r>
    </w:p>
    <w:p w:rsidR="006E3A83" w:rsidRDefault="006E3A83" w:rsidP="00152568">
      <w:pPr>
        <w:jc w:val="right"/>
        <w:rPr>
          <w:sz w:val="28"/>
          <w:szCs w:val="28"/>
        </w:rPr>
      </w:pPr>
    </w:p>
    <w:p w:rsidR="006E3A83" w:rsidRDefault="006E3A83" w:rsidP="00152568">
      <w:pPr>
        <w:jc w:val="right"/>
        <w:rPr>
          <w:sz w:val="28"/>
          <w:szCs w:val="28"/>
        </w:rPr>
      </w:pPr>
    </w:p>
    <w:p w:rsidR="00152568" w:rsidRDefault="00152568" w:rsidP="00152568">
      <w:pPr>
        <w:jc w:val="right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152568" w:rsidRDefault="00152568" w:rsidP="00152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</w:p>
    <w:p w:rsidR="00152568" w:rsidRDefault="00152568" w:rsidP="00152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Поливянского</w:t>
      </w:r>
      <w:r w:rsidRPr="00145F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5F87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</w:p>
    <w:p w:rsidR="00152568" w:rsidRDefault="00152568" w:rsidP="00152568">
      <w:pPr>
        <w:jc w:val="right"/>
        <w:rPr>
          <w:sz w:val="28"/>
          <w:szCs w:val="28"/>
        </w:rPr>
      </w:pPr>
      <w:r w:rsidRPr="00145F8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января </w:t>
      </w:r>
      <w:r>
        <w:rPr>
          <w:sz w:val="28"/>
          <w:szCs w:val="28"/>
        </w:rPr>
        <w:t>2024</w:t>
      </w:r>
      <w:r w:rsidRPr="00DD45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</w:p>
    <w:p w:rsid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ПОРЯДОК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проведения осмотра здания, сооружения или объекта незавершенного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строительства при проведении мероприятий по выявлению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правообладателей ранее учтенных объектов недвижимости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1.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Порядок проведения осмотра здания, сооружения, объекта капитального строительства  при проведении мероприятий по выявлению правообладателей ранее учтенных объектов недвижимости (далее Порядок) устанавливает правила подготовки и осуществления осмотра здания, сооружения, объекта незавершенного строительства, расположенных  на территории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Поливянского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сельского поселения при проведении Администрацией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 мероприятий по выявлению правообладателей объектов недвижимости , которые в соответствии с Федеральным законом от 13 июля 2015 года  № 218-ФЗ «О государственной регистрации недвижимости» считаются ранее учтенными объектами недвижимости или сведения о которых могут быть внесены в Единый государственный реестр недвижимости (далее -ЕГРН) по правилам, предусмотренным частью 9 статьи 69 Федерального закона № 218-ФЗ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-Акт осмотра).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2.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После проведения предусмотренных частями 1-4 статьи 69.1 Федерального закона №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уполномоченный орган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 обеспечивает проведение осмотра здания, сооружения или объекта незавершенного строительства (далее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3.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При подготовке к проведению осмотра  Администрация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поселения: </w:t>
      </w:r>
    </w:p>
    <w:p w:rsidR="00152568" w:rsidRPr="00152568" w:rsidRDefault="00152568" w:rsidP="00152568">
      <w:pPr>
        <w:widowControl/>
        <w:suppressAutoHyphens/>
        <w:autoSpaceDE w:val="0"/>
        <w:snapToGrid/>
        <w:ind w:firstLine="708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- распоряжением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 создает комиссию 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 в составе не менее трех представителей уполномоченного органа (далее - комиссия) и определяет распоряжением  председателя комиссии;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-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размещает на официальном сайте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 и на информационных щитах в границах населенных пунктов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 по месту расположения объектов недвижимости, уведомление о проведении осмотра (осмотров) объекта (объектов)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lastRenderedPageBreak/>
        <w:t xml:space="preserve">недвижимости с указанием даты проведения осмотра (осмотров) и периода времени, в течение которого будет проводиться такой осмотр. 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4.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осмотр, 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5.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 ходе проведения осмотра осуществляется фото-фиксация объекта(</w:t>
      </w:r>
      <w:proofErr w:type="spellStart"/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ов</w:t>
      </w:r>
      <w:proofErr w:type="spellEnd"/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) недвижимости с указанием места и даты съемки. Материалы фото-фиксации прилагаются к Акту осмотра.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6.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В результате осмотра оформляется Акт осмотра, подписанный членами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поселения. В акте  осмотра комиссией указываются: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-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дата и время проведения осмотра;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-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sz w:val="28"/>
          <w:szCs w:val="28"/>
          <w:lang w:eastAsia="ar-SA"/>
        </w:rPr>
        <w:tab/>
        <w:t xml:space="preserve">-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 xml:space="preserve">- наименование уполномоченного органа - (комиссии)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поселения;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>- последовательно, начиная с председателя комиссии , состав комиссии, производившей осмотр (фамилия, имя, отчество должность каждого члена комиссии (при наличии);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>- сведения о присутствии на момент осмотра объекта недвижимости лица, права которого на такой объект недвижимости подтверждаются право устанавливающими или право удостоверяющими документами, оформленными до дня  вступления в силу Федерального закона от 21 июля 1997 года № 122 - ФЗ «О государственной регистрации прав на недвижимое имущество и сделок с ним», с указанием слов соответственно «в присутствии» или «в отсутствие»;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>- сведения о применении при проведении осмотра технических средств;</w:t>
      </w:r>
    </w:p>
    <w:p w:rsidR="00152568" w:rsidRPr="00152568" w:rsidRDefault="00152568" w:rsidP="00152568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>- сведения о существовании объекта недвижимости на момент его осмотра посредством указания слов соответственно «существует» или «прекратил существование».</w:t>
      </w:r>
    </w:p>
    <w:p w:rsidR="00152568" w:rsidRDefault="00152568" w:rsidP="006E3A83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>7. Акт осмотра составляется в форме электронного документа в соответствии с установленными на основании пункта 2 части 1, части 11 стать 18 Федерального закона № 218-ФЗ требованиями  к формату заявления о государственном кадастровом учёте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 составленный в электронной форме, подписывается усиленными квалифицированными электронными подписями членов комиссии.</w:t>
      </w:r>
    </w:p>
    <w:p w:rsidR="006E3A83" w:rsidRDefault="006E3A83" w:rsidP="006E3A83">
      <w:pPr>
        <w:widowControl/>
        <w:suppressAutoHyphens/>
        <w:autoSpaceDE w:val="0"/>
        <w:snapToGrid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Глава Администрации </w:t>
      </w:r>
    </w:p>
    <w:p w:rsid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А.В. Балык</w:t>
      </w:r>
    </w:p>
    <w:p w:rsid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Приложение № 2</w:t>
      </w:r>
    </w:p>
    <w:p w:rsidR="00152568" w:rsidRPr="00152568" w:rsidRDefault="00152568" w:rsidP="00152568">
      <w:pPr>
        <w:widowControl/>
        <w:suppressAutoHyphens/>
        <w:autoSpaceDE w:val="0"/>
        <w:snapToGrid/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к постановлению Администрации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Поливянского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сельского поселения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22 января 2024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 №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11</w:t>
      </w:r>
    </w:p>
    <w:p w:rsidR="00152568" w:rsidRPr="00152568" w:rsidRDefault="00152568" w:rsidP="00152568">
      <w:pPr>
        <w:widowControl/>
        <w:suppressAutoHyphens/>
        <w:autoSpaceDE w:val="0"/>
        <w:snapToGrid/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АКТ ОСМОТРА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здания, сооружения или объекта незавершенного строительства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при выявлении правообладателей ранее учтенных объектов недвижимости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«__» ___________ 20____года                                                      № 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Настоящий акт составлен в результате проведенного _____________________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указывается дата и время осмотра (число                    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и месяц, год, минуты, часы)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>осмотра объекта недвижимости_______________________________________,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 xml:space="preserve">                                                           указывается вид объекта недвижимости: здание, сооружение, объект, незавершенного строительства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>кадастровый (или иной государственный учет) номер ____________________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 xml:space="preserve">__________________________________________________________________,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16"/>
          <w:szCs w:val="19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9"/>
          <w:lang w:eastAsia="ar-SA"/>
        </w:rPr>
        <w:t>указывается при наличии кадастровый номер или иной государственный учётный номер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 xml:space="preserve">расположенного ____________________________________________________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9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</w:t>
      </w:r>
      <w:r w:rsidRPr="00152568">
        <w:rPr>
          <w:rFonts w:ascii="Times New Roman CYR" w:eastAsia="Times New Roman CYR" w:hAnsi="Times New Roman CYR" w:cs="Times New Roman CYR"/>
          <w:sz w:val="16"/>
          <w:szCs w:val="19"/>
          <w:lang w:eastAsia="ar-SA"/>
        </w:rPr>
        <w:t>указывается адрес объекта недвижимости (при наличии) либо местоположение (при отсутствии адреса)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 xml:space="preserve">на земельном участке с кадастровым номером __________________________,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16"/>
          <w:szCs w:val="19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9"/>
          <w:lang w:eastAsia="ar-SA"/>
        </w:rPr>
        <w:t xml:space="preserve">                                                                                                                                    при  наличии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 xml:space="preserve">расположенном ____________________________________________________,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16"/>
          <w:szCs w:val="19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Pr="00152568">
        <w:rPr>
          <w:rFonts w:ascii="Times New Roman CYR" w:eastAsia="Times New Roman CYR" w:hAnsi="Times New Roman CYR" w:cs="Times New Roman CYR"/>
          <w:sz w:val="16"/>
          <w:szCs w:val="19"/>
          <w:lang w:eastAsia="ar-SA"/>
        </w:rPr>
        <w:t>указывается адрес или местоположение земельного участка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>комиссией  по выявлению правообладателей ранее учтенных объектов недвижимости Богородицкого сельского поселения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>в составе: _________________________________________________________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>приводится состав комиссии (фамилия, имя,  отчество должность каждого члена комиссии (при наличии)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__________________________________________________________________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_________________________________________, лица, выявленного в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>указать нужное «в присутствии» или «в отсутствие»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качестве правообладателя указанного ранее учтенного объекта недвижимости.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ab/>
      </w:r>
    </w:p>
    <w:p w:rsidR="00152568" w:rsidRPr="00152568" w:rsidRDefault="00152568" w:rsidP="00152568">
      <w:pPr>
        <w:widowControl/>
        <w:suppressAutoHyphens/>
        <w:autoSpaceDE w:val="0"/>
        <w:snapToGrid/>
        <w:ind w:firstLine="708"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>При осмотре осуществлена фотофиксация объекта недвижимости.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>Материалы фотофиксации прилагаются.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>Осмотр проведен ___________________________________________________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 xml:space="preserve">                                                    указать нужное : «в форме визуального осмотра», «с применением технических средств», если осмотр  проведен с применением технических средств, дополнительно указываются  наименование и модель использованного технического средства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34"/>
          <w:lang w:eastAsia="ar-SA"/>
        </w:rPr>
        <w:t>В результате  проведенного осмотра установлено, что ранее учтенный объект недвижимости _____________________________________________________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center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 xml:space="preserve">(указать нужное: существует, прекратил существование) 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Подписи членов комиссии: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Председатель комиссии:         __________________      __________________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 xml:space="preserve">                                                                                                              (подпись)                                                    расшифровка подписи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__________________      __________________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</w:t>
      </w: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 xml:space="preserve">  (подпись)                                                      расшифровка подписи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__________________      __________________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</w:t>
      </w:r>
      <w:r w:rsidRPr="00152568">
        <w:rPr>
          <w:rFonts w:ascii="Times New Roman CYR" w:eastAsia="Times New Roman CYR" w:hAnsi="Times New Roman CYR" w:cs="Times New Roman CYR"/>
          <w:sz w:val="16"/>
          <w:szCs w:val="16"/>
          <w:lang w:eastAsia="ar-SA"/>
        </w:rPr>
        <w:t xml:space="preserve">  (подпись)                                                      расшифровка подписи</w:t>
      </w: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sz w:val="28"/>
          <w:szCs w:val="28"/>
          <w:lang w:eastAsia="ar-SA"/>
        </w:rPr>
      </w:pPr>
    </w:p>
    <w:p w:rsidR="00152568" w:rsidRPr="00152568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Глава Администрации </w:t>
      </w:r>
    </w:p>
    <w:p w:rsidR="00152568" w:rsidRPr="006E3A83" w:rsidRDefault="00152568" w:rsidP="00152568">
      <w:pPr>
        <w:widowControl/>
        <w:suppressAutoHyphens/>
        <w:autoSpaceDE w:val="0"/>
        <w:snapToGrid/>
        <w:jc w:val="left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sectPr w:rsidR="00152568" w:rsidRPr="006E3A83" w:rsidSect="006E3A83">
          <w:footerReference w:type="even" r:id="rId9"/>
          <w:pgSz w:w="11906" w:h="16838" w:code="9"/>
          <w:pgMar w:top="425" w:right="851" w:bottom="567" w:left="1134" w:header="709" w:footer="709" w:gutter="0"/>
          <w:cols w:space="708"/>
          <w:docGrid w:linePitch="360"/>
        </w:sect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Поливянского </w:t>
      </w:r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сельского поселения   </w:t>
      </w:r>
      <w:bookmarkStart w:id="0" w:name="_GoBack"/>
      <w:bookmarkEnd w:id="0"/>
      <w:r w:rsidRPr="0015256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</w:t>
      </w:r>
      <w:r w:rsidR="006E3A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А.В. Балык</w:t>
      </w:r>
    </w:p>
    <w:p w:rsidR="00510FDA" w:rsidRPr="00510FDA" w:rsidRDefault="00510FDA" w:rsidP="006E3A83"/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B7" w:rsidRDefault="00A718B7">
      <w:r>
        <w:separator/>
      </w:r>
    </w:p>
  </w:endnote>
  <w:endnote w:type="continuationSeparator" w:id="0">
    <w:p w:rsidR="00A718B7" w:rsidRDefault="00A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B7" w:rsidRDefault="00A718B7">
      <w:r>
        <w:separator/>
      </w:r>
    </w:p>
  </w:footnote>
  <w:footnote w:type="continuationSeparator" w:id="0">
    <w:p w:rsidR="00A718B7" w:rsidRDefault="00A7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6E4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61A3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2568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1541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4ABA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E330C"/>
    <w:rsid w:val="002F0581"/>
    <w:rsid w:val="002F6642"/>
    <w:rsid w:val="00300E21"/>
    <w:rsid w:val="003051AD"/>
    <w:rsid w:val="00307D6F"/>
    <w:rsid w:val="00307E33"/>
    <w:rsid w:val="00314C8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37D8D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1CD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DE4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3A83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0919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18B7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85F73"/>
    <w:rsid w:val="00A9411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6EEB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6F1D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459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3A9D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347B8-86FD-45DB-88D3-398EB5CB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Светлана</cp:lastModifiedBy>
  <cp:revision>3</cp:revision>
  <cp:lastPrinted>2022-08-05T06:47:00Z</cp:lastPrinted>
  <dcterms:created xsi:type="dcterms:W3CDTF">2024-01-22T09:17:00Z</dcterms:created>
  <dcterms:modified xsi:type="dcterms:W3CDTF">2024-01-22T09:20:00Z</dcterms:modified>
</cp:coreProperties>
</file>